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24"/>
          <w:szCs w:val="24"/>
        </w:rPr>
        <w:t>CHAMAMENTO PÚBLICO 01</w:t>
      </w:r>
      <w:r>
        <w:rPr>
          <w:rFonts w:eastAsia="Calibri" w:cs="Calibri" w:ascii="Calibri" w:hAnsi="Calibri"/>
          <w:b/>
          <w:color w:val="000000"/>
          <w:sz w:val="24"/>
          <w:szCs w:val="24"/>
        </w:rPr>
        <w:t>/2025 -SMTC – DEPARTAMENTO DE CULTURA DE CANELA/RS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DE PONTOS E PONTÕES DE CULTURA </w:t>
      </w:r>
      <w:r>
        <w:rPr>
          <w:rFonts w:eastAsia="Calibri" w:cs="Calibri" w:ascii="Calibri" w:hAnsi="Calibri"/>
          <w:color w:val="000000"/>
          <w:sz w:val="24"/>
          <w:szCs w:val="24"/>
          <w:u w:val="none"/>
        </w:rPr>
        <w:t>DO MUNICÍPIO DE CANELA/RS</w:t>
      </w:r>
    </w:p>
    <w:p>
      <w:pPr>
        <w:pStyle w:val="LOnormal"/>
        <w:shd w:val="clear" w:fill="FFFFFF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CULTURA VIVA DO TAMANHO DO BRASIL!</w:t>
      </w: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spacing w:lineRule="auto" w:line="24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rFonts w:ascii="Calibri" w:hAnsi="Calibri" w:eastAsia="Calibri" w:cs="Calibri"/>
          <w:b/>
          <w:b/>
          <w:sz w:val="24"/>
          <w:szCs w:val="24"/>
          <w:u w:val="single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ANEXO 02 - CRITÉRIOS DE AVALIAÇÃO DA ETAPA DE SELEÇÃO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Avaliação da atuação da entidade cultural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rFonts w:ascii="Calibri" w:hAnsi="Calibri" w:eastAsia="Calibri" w:cs="Calibri"/>
          <w:b/>
          <w:b/>
          <w:sz w:val="24"/>
          <w:szCs w:val="24"/>
          <w:highlight w:val="magenta"/>
        </w:rPr>
      </w:pPr>
      <w:r>
        <w:rPr>
          <w:rFonts w:eastAsia="Calibri" w:cs="Calibri" w:ascii="Calibri" w:hAnsi="Calibri"/>
          <w:b/>
          <w:sz w:val="24"/>
          <w:szCs w:val="24"/>
          <w:highlight w:val="magenta"/>
        </w:rPr>
      </w:r>
    </w:p>
    <w:tbl>
      <w:tblPr>
        <w:tblStyle w:val="Table1"/>
        <w:tblW w:w="13963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600"/>
      </w:tblPr>
      <w:tblGrid>
        <w:gridCol w:w="431"/>
        <w:gridCol w:w="8267"/>
        <w:gridCol w:w="914"/>
        <w:gridCol w:w="1397"/>
        <w:gridCol w:w="1455"/>
        <w:gridCol w:w="1498"/>
      </w:tblGrid>
      <w:tr>
        <w:trPr>
          <w:trHeight w:val="555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  <w:tc>
          <w:tcPr>
            <w:tcW w:w="8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  <w:tc>
          <w:tcPr>
            <w:tcW w:w="3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DISTRIBUIÇÃO DOS PONTOS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PONTUAÇÃO MÁXIMA NO ITEM</w:t>
            </w:r>
          </w:p>
        </w:tc>
      </w:tr>
      <w:tr>
        <w:trPr>
          <w:trHeight w:val="795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b/>
                <w:b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</w:r>
          </w:p>
        </w:tc>
        <w:tc>
          <w:tcPr>
            <w:tcW w:w="8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Não Atende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Atende Plenamente</w:t>
            </w:r>
          </w:p>
        </w:tc>
        <w:tc>
          <w:tcPr>
            <w:tcW w:w="149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100 pontos</w:t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Representa iniciativas culturais já desenvolvidas por comunidades, grupos e redes de colaboração.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b)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Promove, amplia e garante a criação e a produção artística e cultural.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Incentiva a preservação da cultura brasileira.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d)</w:t>
            </w:r>
          </w:p>
        </w:tc>
        <w:tc>
          <w:tcPr>
            <w:tcW w:w="8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Estimula a exploração de espaços públicos e privados para serem disponibilizados para a ação cultural.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e)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Aumenta a visibilidade das diversas iniciativas culturais.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f)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Promove a diversidade cultural brasileira, garantindo diálogos interculturais.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g)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Garante acesso aos meios de fruição, produção e difusão cultural.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52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h)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4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i)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Contribui para o fortalecimento da autonomia social das comunidades.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j)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Promove o intercâmbio entre diferentes segmentos da comunidade.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k)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Estimula a articulação das redes sociais e culturais e dessas com a educação.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l)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Adota princípios de gestão compartilhada entre atores culturais não governamentais e o Estado.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m)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Fomenta as economias solidária e criativa.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4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n)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Protege o patrimônio cultural material, imaterial e promove as memórias comunitárias.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o)</w:t>
            </w:r>
          </w:p>
        </w:tc>
        <w:tc>
          <w:tcPr>
            <w:tcW w:w="8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Apoia e incentiva manifestações culturais populares e tradicionais.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Realiza atividades culturais gratuitas e abertas com regularidade na comunidade.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q)</w:t>
            </w:r>
          </w:p>
        </w:tc>
        <w:tc>
          <w:tcPr>
            <w:tcW w:w="8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31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r)</w:t>
            </w:r>
          </w:p>
        </w:tc>
        <w:tc>
          <w:tcPr>
            <w:tcW w:w="8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914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LOnormal"/>
              <w:widowControl w:val="false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p>
      <w:pPr>
        <w:pStyle w:val="LOnormal"/>
        <w:widowControl w:val="false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Para ser certificada, a entidade precisará alcançar a pontuação mínima de 50 (cinquenta) pontos.</w:t>
      </w:r>
    </w:p>
    <w:p>
      <w:pPr>
        <w:pStyle w:val="LO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Será atribuido pontuação extra de 05 (cinco) pontos  para as entidades e coletivos com trajetória declarada e comprovadamente ligadas às culturas populares e tradicionais.</w:t>
      </w:r>
    </w:p>
    <w:p>
      <w:pPr>
        <w:pStyle w:val="LO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pontuação final de cada candidatura será por consenso dos membros da Comissão - </w:t>
      </w:r>
      <w:r>
        <w:rPr>
          <w:rFonts w:ascii="Calibri" w:hAnsi="Calibri"/>
          <w:b/>
          <w:bCs/>
          <w:sz w:val="24"/>
          <w:szCs w:val="24"/>
        </w:rPr>
        <w:t>que é soberana</w:t>
      </w:r>
      <w:r>
        <w:rPr>
          <w:rFonts w:ascii="Calibri" w:hAnsi="Calibri"/>
          <w:sz w:val="24"/>
          <w:szCs w:val="24"/>
        </w:rPr>
        <w:t xml:space="preserve"> - não cabendo recurso pela atribuição da nota, salvo se for esquecimento da comissão ou erro de digitalização. </w:t>
      </w:r>
    </w:p>
    <w:p>
      <w:pPr>
        <w:pStyle w:val="LO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critérios gerais são eliminatórios, de modo que, o agente cultural que receber pontuação 0 em algum dos critérios será desclassificado do Edital.</w:t>
      </w:r>
    </w:p>
    <w:p>
      <w:pPr>
        <w:pStyle w:val="LO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Os bônus de pontuação são cumulativos e não constituem critérios obrigatórios, de modo que a pontuação 0 em algum dos critérios do bônus, não desclassifca o agente cultural. </w:t>
      </w:r>
    </w:p>
    <w:p>
      <w:pPr>
        <w:pStyle w:val="LO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Em caso de empate, serão utilizados para fins de classificação a maior nota nos critérios de acordo com a ordem abaixo definida: A, B, C, D, E, respectivamente.</w:t>
      </w:r>
    </w:p>
    <w:p>
      <w:pPr>
        <w:pStyle w:val="LO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Caso nenhum dos critérios acima elencados seja capaz de promover o desempate serão adotados critérios de desempate na ordem a seguir: 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rFonts w:ascii="Calibri" w:hAnsi="Calibri" w:eastAsia="Calibri" w:cs="Calibri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Calibri" w:cs="Calibri" w:ascii="Calibri" w:hAnsi="Calibri"/>
          <w:b w:val="false"/>
          <w:bCs w:val="false"/>
          <w:color w:val="000000"/>
          <w:sz w:val="24"/>
          <w:szCs w:val="24"/>
        </w:rPr>
        <w:t>AGENTE CULTURAL COM MAIOR IDADE e se ainda assim permanecer o empate será aplicado o sorteio simples.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rFonts w:ascii="Calibri" w:hAnsi="Calibri" w:eastAsia="Calibri" w:cs="Calibri"/>
          <w:color w:val="000000"/>
          <w:sz w:val="24"/>
          <w:szCs w:val="24"/>
        </w:rPr>
      </w:pPr>
      <w:r>
        <w:rPr>
          <w:rFonts w:eastAsia="Calibri" w:cs="Calibri" w:ascii="Calibri" w:hAnsi="Calibri"/>
          <w:color w:val="000000"/>
          <w:sz w:val="24"/>
          <w:szCs w:val="24"/>
        </w:rPr>
        <w:t xml:space="preserve">Serão considerados aptos os agentes culturais que receberem nota final igual ou superior a 50 pontos. 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rFonts w:ascii="Calibri" w:hAnsi="Calibri" w:eastAsia="Calibri" w:cs="Calibri"/>
          <w:color w:val="000000"/>
          <w:sz w:val="24"/>
          <w:szCs w:val="24"/>
        </w:rPr>
      </w:pPr>
      <w:r>
        <w:rPr>
          <w:rFonts w:eastAsia="Calibri" w:cs="Calibri" w:ascii="Calibri" w:hAnsi="Calibri"/>
          <w:color w:val="000000"/>
          <w:sz w:val="24"/>
          <w:szCs w:val="24"/>
        </w:rPr>
        <w:t xml:space="preserve">A falsidade de informações acarretará desclassificação, podendo ensejar, ainda, a aplicação de sanções administrativas ou criminais. 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color w:val="FF0000"/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rFonts w:ascii="Calibri" w:hAnsi="Calibri" w:eastAsia="Calibri" w:cs="Calibri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40" w:right="1440" w:gutter="0" w:header="720" w:top="1440" w:footer="720" w:bottom="1496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7048500</wp:posOffset>
          </wp:positionH>
          <wp:positionV relativeFrom="paragraph">
            <wp:posOffset>-130175</wp:posOffset>
          </wp:positionV>
          <wp:extent cx="2125345" cy="740410"/>
          <wp:effectExtent l="0" t="0" r="0" b="0"/>
          <wp:wrapNone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37" t="91393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125345" cy="740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-571500</wp:posOffset>
          </wp:positionH>
          <wp:positionV relativeFrom="paragraph">
            <wp:posOffset>-66675</wp:posOffset>
          </wp:positionV>
          <wp:extent cx="1290320" cy="563880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00" r="81817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-609600</wp:posOffset>
          </wp:positionH>
          <wp:positionV relativeFrom="paragraph">
            <wp:posOffset>-342900</wp:posOffset>
          </wp:positionV>
          <wp:extent cx="1308100" cy="742950"/>
          <wp:effectExtent l="0" t="0" r="0" b="0"/>
          <wp:wrapNone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25" b="91642"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8042275</wp:posOffset>
          </wp:positionH>
          <wp:positionV relativeFrom="paragraph">
            <wp:posOffset>-285115</wp:posOffset>
          </wp:positionV>
          <wp:extent cx="695960" cy="695960"/>
          <wp:effectExtent l="0" t="0" r="0" b="0"/>
          <wp:wrapSquare wrapText="largest"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</TotalTime>
  <Application>LibreOffice/7.3.6.2$Windows_X86_64 LibreOffice_project/c28ca90fd6e1a19e189fc16c05f8f8924961e12e</Application>
  <AppVersion>15.0000</AppVersion>
  <Pages>3</Pages>
  <Words>627</Words>
  <Characters>3334</Characters>
  <CharactersWithSpaces>3857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2025-03-31T13:43:41Z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